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1581B">
      <w:pPr>
        <w:jc w:val="center"/>
        <w:rPr>
          <w:rFonts w:hint="eastAsia"/>
          <w:sz w:val="32"/>
          <w:szCs w:val="32"/>
        </w:rPr>
      </w:pPr>
      <w:r>
        <w:rPr>
          <w:rFonts w:hint="eastAsia"/>
          <w:sz w:val="32"/>
          <w:szCs w:val="32"/>
          <w:lang w:val="en-US" w:eastAsia="zh-CN"/>
        </w:rPr>
        <w:t>Mini显示屏空间光色特性校准规范</w:t>
      </w:r>
    </w:p>
    <w:p w14:paraId="1D13B50B">
      <w:pPr>
        <w:jc w:val="center"/>
        <w:rPr>
          <w:rFonts w:hint="eastAsia"/>
          <w:sz w:val="32"/>
          <w:szCs w:val="32"/>
          <w:lang w:val="en-US" w:eastAsia="zh-CN"/>
        </w:rPr>
      </w:pPr>
      <w:r>
        <w:rPr>
          <w:rFonts w:hint="eastAsia"/>
          <w:sz w:val="32"/>
          <w:szCs w:val="32"/>
          <w:lang w:eastAsia="zh-CN"/>
        </w:rPr>
        <w:t>（</w:t>
      </w:r>
      <w:r>
        <w:rPr>
          <w:rFonts w:hint="eastAsia"/>
          <w:sz w:val="32"/>
          <w:szCs w:val="32"/>
          <w:lang w:val="en-US" w:eastAsia="zh-CN"/>
        </w:rPr>
        <w:t>制定</w:t>
      </w:r>
      <w:r>
        <w:rPr>
          <w:rFonts w:hint="eastAsia"/>
          <w:sz w:val="32"/>
          <w:szCs w:val="32"/>
          <w:lang w:eastAsia="zh-CN"/>
        </w:rPr>
        <w:t>）</w:t>
      </w:r>
      <w:r>
        <w:rPr>
          <w:rFonts w:hint="eastAsia"/>
          <w:sz w:val="32"/>
          <w:szCs w:val="32"/>
          <w:lang w:val="en-US" w:eastAsia="zh-CN"/>
        </w:rPr>
        <w:t>编制说明</w:t>
      </w:r>
    </w:p>
    <w:p w14:paraId="18C00A41">
      <w:pPr>
        <w:jc w:val="center"/>
        <w:rPr>
          <w:rFonts w:hint="eastAsia"/>
          <w:sz w:val="32"/>
          <w:szCs w:val="32"/>
          <w:lang w:val="en-US" w:eastAsia="zh-CN"/>
        </w:rPr>
      </w:pPr>
    </w:p>
    <w:p w14:paraId="076B4CA7">
      <w:pPr>
        <w:numPr>
          <w:ilvl w:val="0"/>
          <w:numId w:val="1"/>
        </w:numPr>
        <w:spacing w:line="400" w:lineRule="exact"/>
        <w:rPr>
          <w:rFonts w:hint="eastAsia"/>
          <w:sz w:val="28"/>
          <w:szCs w:val="28"/>
        </w:rPr>
      </w:pPr>
      <w:r>
        <w:rPr>
          <w:rFonts w:hint="eastAsia"/>
          <w:sz w:val="28"/>
          <w:szCs w:val="28"/>
        </w:rPr>
        <w:t>任务来源</w:t>
      </w:r>
    </w:p>
    <w:p w14:paraId="53149943">
      <w:pPr>
        <w:spacing w:line="400" w:lineRule="exact"/>
        <w:ind w:firstLine="570"/>
        <w:rPr>
          <w:rFonts w:hint="default"/>
          <w:color w:val="FF0000"/>
          <w:sz w:val="28"/>
          <w:szCs w:val="28"/>
          <w:lang w:val="en-US" w:eastAsia="zh-CN"/>
        </w:rPr>
      </w:pPr>
      <w:r>
        <w:rPr>
          <w:rFonts w:hint="eastAsia"/>
          <w:sz w:val="28"/>
        </w:rPr>
        <w:t>本</w:t>
      </w:r>
      <w:r>
        <w:rPr>
          <w:rFonts w:hint="eastAsia"/>
          <w:color w:val="FF0000"/>
          <w:sz w:val="28"/>
        </w:rPr>
        <w:t>规范</w:t>
      </w:r>
      <w:r>
        <w:rPr>
          <w:rFonts w:hint="eastAsia"/>
          <w:sz w:val="28"/>
        </w:rPr>
        <w:t>的</w:t>
      </w:r>
      <w:r>
        <w:rPr>
          <w:rFonts w:hint="eastAsia"/>
          <w:color w:val="FF0000"/>
          <w:sz w:val="28"/>
        </w:rPr>
        <w:t>制订</w:t>
      </w:r>
      <w:r>
        <w:rPr>
          <w:rFonts w:hint="eastAsia"/>
          <w:sz w:val="28"/>
        </w:rPr>
        <w:t>工作是按照</w:t>
      </w:r>
      <w:r>
        <w:rPr>
          <w:rFonts w:hint="eastAsia"/>
          <w:color w:val="FF0000"/>
          <w:sz w:val="28"/>
          <w:szCs w:val="28"/>
        </w:rPr>
        <w:t>国家市场监督管理总局</w:t>
      </w:r>
      <w:r>
        <w:rPr>
          <w:rFonts w:hint="eastAsia"/>
          <w:color w:val="FF0000"/>
          <w:sz w:val="28"/>
          <w:szCs w:val="28"/>
          <w:lang w:val="en-US" w:eastAsia="zh-CN"/>
        </w:rPr>
        <w:t>质量强链行动项目“Mini/Micro LED新型显示技术及应用终端质量提升项目”对新型Mini LED显示产品质量提升的要求，根据行动规划制定Mini显示屏空间光色特性的校准规范，提升链条中产品质量评价一致性。</w:t>
      </w:r>
      <w:r>
        <w:rPr>
          <w:rFonts w:hint="eastAsia"/>
          <w:sz w:val="28"/>
        </w:rPr>
        <w:t>本</w:t>
      </w:r>
      <w:r>
        <w:rPr>
          <w:rFonts w:hint="eastAsia"/>
          <w:color w:val="FF0000"/>
          <w:sz w:val="28"/>
        </w:rPr>
        <w:t>规范</w:t>
      </w:r>
      <w:r>
        <w:rPr>
          <w:rFonts w:hint="eastAsia"/>
          <w:sz w:val="28"/>
        </w:rPr>
        <w:t>的</w:t>
      </w:r>
      <w:r>
        <w:rPr>
          <w:rFonts w:hint="eastAsia"/>
          <w:color w:val="FF0000"/>
          <w:sz w:val="28"/>
        </w:rPr>
        <w:t>制订</w:t>
      </w:r>
      <w:r>
        <w:rPr>
          <w:rFonts w:hint="eastAsia"/>
          <w:sz w:val="28"/>
        </w:rPr>
        <w:t>工作是</w:t>
      </w:r>
      <w:r>
        <w:rPr>
          <w:rFonts w:hint="eastAsia"/>
          <w:color w:val="FF0000"/>
          <w:sz w:val="28"/>
          <w:szCs w:val="28"/>
          <w:lang w:val="en-US" w:eastAsia="zh-CN"/>
        </w:rPr>
        <w:t>根据强链行动的要求，在全国光学计量技术委员会的指导下开展的。</w:t>
      </w:r>
    </w:p>
    <w:p w14:paraId="48FBDF2B">
      <w:pPr>
        <w:spacing w:line="400" w:lineRule="exact"/>
        <w:ind w:firstLine="570"/>
        <w:rPr>
          <w:rFonts w:hint="eastAsia"/>
          <w:sz w:val="28"/>
        </w:rPr>
      </w:pPr>
      <w:r>
        <w:rPr>
          <w:rFonts w:hint="eastAsia"/>
          <w:sz w:val="28"/>
          <w:lang w:val="en-US" w:eastAsia="zh-CN"/>
        </w:rPr>
        <w:t>规范</w:t>
      </w:r>
      <w:r>
        <w:rPr>
          <w:rFonts w:hint="eastAsia"/>
          <w:color w:val="FF0000"/>
          <w:sz w:val="28"/>
        </w:rPr>
        <w:t>制</w:t>
      </w:r>
      <w:r>
        <w:rPr>
          <w:rFonts w:hint="eastAsia"/>
          <w:color w:val="FF0000"/>
          <w:sz w:val="28"/>
          <w:szCs w:val="28"/>
        </w:rPr>
        <w:t>定</w:t>
      </w:r>
      <w:r>
        <w:rPr>
          <w:rFonts w:hint="eastAsia"/>
          <w:sz w:val="28"/>
        </w:rPr>
        <w:t>完成单位为：</w:t>
      </w:r>
    </w:p>
    <w:p w14:paraId="3742800D">
      <w:pPr>
        <w:spacing w:line="400" w:lineRule="exact"/>
        <w:ind w:firstLine="570"/>
        <w:rPr>
          <w:rFonts w:hint="eastAsia" w:ascii="宋体" w:cs="宋体"/>
          <w:kern w:val="0"/>
          <w:sz w:val="28"/>
          <w:szCs w:val="28"/>
          <w:lang w:val="en-US" w:eastAsia="zh-CN"/>
        </w:rPr>
      </w:pPr>
      <w:r>
        <w:rPr>
          <w:rFonts w:hint="eastAsia"/>
          <w:sz w:val="28"/>
        </w:rPr>
        <w:t>中国计量科学研究院、</w:t>
      </w:r>
      <w:r>
        <w:rPr>
          <w:rFonts w:hint="eastAsia"/>
          <w:sz w:val="28"/>
          <w:lang w:val="en-US" w:eastAsia="zh-CN"/>
        </w:rPr>
        <w:t>苏州市计量测试院、深圳市计量质量检测研究院</w:t>
      </w:r>
      <w:r>
        <w:rPr>
          <w:rFonts w:hint="eastAsia" w:ascii="宋体" w:cs="宋体"/>
          <w:kern w:val="0"/>
          <w:sz w:val="28"/>
          <w:szCs w:val="28"/>
          <w:lang w:val="en-US" w:eastAsia="zh-CN"/>
        </w:rPr>
        <w:t>。</w:t>
      </w:r>
    </w:p>
    <w:p w14:paraId="3A662183">
      <w:pPr>
        <w:spacing w:line="400" w:lineRule="exact"/>
        <w:ind w:firstLine="570"/>
        <w:rPr>
          <w:rFonts w:hint="eastAsia" w:ascii="宋体" w:cs="宋体"/>
          <w:kern w:val="0"/>
          <w:sz w:val="28"/>
          <w:szCs w:val="28"/>
          <w:lang w:val="en-US" w:eastAsia="zh-CN"/>
        </w:rPr>
      </w:pPr>
    </w:p>
    <w:p w14:paraId="526C8BE2">
      <w:pPr>
        <w:numPr>
          <w:ilvl w:val="0"/>
          <w:numId w:val="1"/>
        </w:numPr>
        <w:spacing w:line="400" w:lineRule="exact"/>
        <w:rPr>
          <w:rFonts w:hint="eastAsia"/>
          <w:sz w:val="28"/>
          <w:szCs w:val="28"/>
        </w:rPr>
      </w:pPr>
      <w:r>
        <w:rPr>
          <w:rFonts w:hint="eastAsia"/>
          <w:sz w:val="28"/>
          <w:szCs w:val="28"/>
        </w:rPr>
        <w:t>目的、意义，国内外现状和需求</w:t>
      </w:r>
    </w:p>
    <w:p w14:paraId="1A76EA09">
      <w:pPr>
        <w:spacing w:line="400" w:lineRule="exact"/>
        <w:ind w:firstLine="570"/>
        <w:rPr>
          <w:rFonts w:hint="eastAsia"/>
          <w:sz w:val="28"/>
          <w:lang w:val="en-US" w:eastAsia="zh-CN"/>
        </w:rPr>
      </w:pPr>
      <w:r>
        <w:rPr>
          <w:rFonts w:hint="eastAsia"/>
          <w:sz w:val="28"/>
          <w:lang w:val="en-US" w:eastAsia="zh-CN"/>
        </w:rPr>
        <w:t>新型LED显示器件超高密度的像素元。传统上对显示器件的测量主要是使用光谱辐射亮度计（或光谱辐射计、亮度计），而光谱辐射亮度计主要是使用发光体是CIE A光源的亮度源定标光谱辐射亮度值，再使用白场仪进行校验测量。传统标准白场仪通过是基于阴极射线管(CRT)或LCD。由于传统标准白场仪与新型 Mini LED显示器件，由于采用了不同的发光器件，以及发光点尺寸、发光光谱上的存在明显差异，使得使用传统白场仪校验后光谱辐射亮度计，测量新型LED显示器件的光色参数时，仍容易产生系统偏差。此外，由于LED显示器件非朗伯体且可能存在闪烁。其角度特性和闪烁特性亦可能影响测量结果。因此，为了减少测量不确定度，提高产品光色参数的可靠性，使用Mini LED显示屏多维测量标准装置，测量Mini LED显示器件，并将该期间作为参考器件，用于工业产线上的仪器实时校准和稳定性检测，实现Mini LED显示器件的光色参数扁平化的量值溯源与传递。</w:t>
      </w:r>
    </w:p>
    <w:p w14:paraId="1ACF55CA">
      <w:pPr>
        <w:spacing w:line="400" w:lineRule="exact"/>
        <w:ind w:firstLine="570"/>
        <w:rPr>
          <w:rFonts w:hint="eastAsia"/>
          <w:sz w:val="28"/>
          <w:lang w:val="en-US" w:eastAsia="zh-CN"/>
        </w:rPr>
      </w:pPr>
      <w:r>
        <w:rPr>
          <w:rFonts w:hint="eastAsia"/>
          <w:sz w:val="28"/>
          <w:lang w:val="en-US" w:eastAsia="zh-CN"/>
        </w:rPr>
        <w:t>本规范主要制定单位在研究Mini LED显示屏空间光色分布测量装置的技术参数和使用方法的基础上，总结制定了自编校准规范，并试运行了近1年。通过制定相关的LED显示器件的相关国家校准规范，逐步建立国内的新型LED显示器件计量体系，满足显示行业对标准器具和其校准方法的需求。</w:t>
      </w:r>
    </w:p>
    <w:p w14:paraId="27BDC4D9">
      <w:pPr>
        <w:spacing w:line="400" w:lineRule="exact"/>
        <w:ind w:firstLine="570"/>
        <w:rPr>
          <w:rFonts w:hint="eastAsia"/>
          <w:sz w:val="28"/>
          <w:lang w:val="en-US" w:eastAsia="zh-CN"/>
        </w:rPr>
      </w:pPr>
      <w:r>
        <w:rPr>
          <w:rFonts w:hint="eastAsia"/>
          <w:sz w:val="28"/>
          <w:lang w:val="en-US" w:eastAsia="zh-CN"/>
        </w:rPr>
        <w:t>该规范将对Mini LED显示屏空间光色特性分布提供计量技术文件，为基于Mini LED显示屏空间光色特性分布的光色参数的传递和实际应用测量提供计量技术支撑</w:t>
      </w:r>
    </w:p>
    <w:p w14:paraId="06B800D0">
      <w:pPr>
        <w:spacing w:line="400" w:lineRule="exact"/>
        <w:ind w:firstLine="570"/>
        <w:rPr>
          <w:rFonts w:hint="eastAsia"/>
          <w:sz w:val="28"/>
          <w:lang w:val="en-US" w:eastAsia="zh-CN"/>
        </w:rPr>
      </w:pPr>
    </w:p>
    <w:p w14:paraId="4EF95670">
      <w:pPr>
        <w:numPr>
          <w:ilvl w:val="0"/>
          <w:numId w:val="1"/>
        </w:numPr>
        <w:spacing w:line="400" w:lineRule="exact"/>
        <w:rPr>
          <w:rFonts w:hint="eastAsia"/>
          <w:sz w:val="28"/>
        </w:rPr>
      </w:pPr>
      <w:r>
        <w:rPr>
          <w:rFonts w:hint="eastAsia"/>
          <w:color w:val="FF0000"/>
          <w:sz w:val="28"/>
        </w:rPr>
        <w:t>制</w:t>
      </w:r>
      <w:r>
        <w:rPr>
          <w:rFonts w:hint="eastAsia"/>
          <w:color w:val="FF0000"/>
          <w:sz w:val="28"/>
          <w:szCs w:val="28"/>
        </w:rPr>
        <w:t>定</w:t>
      </w:r>
      <w:r>
        <w:rPr>
          <w:rFonts w:hint="eastAsia"/>
          <w:sz w:val="28"/>
        </w:rPr>
        <w:t>的主要内容</w:t>
      </w:r>
    </w:p>
    <w:p w14:paraId="6C910E04">
      <w:pPr>
        <w:spacing w:line="400" w:lineRule="exact"/>
        <w:ind w:firstLine="570"/>
        <w:rPr>
          <w:rFonts w:hint="eastAsia"/>
          <w:sz w:val="28"/>
          <w:lang w:val="en-US" w:eastAsia="zh-CN"/>
        </w:rPr>
      </w:pPr>
      <w:r>
        <w:rPr>
          <w:rFonts w:hint="eastAsia"/>
          <w:sz w:val="28"/>
          <w:lang w:val="en-US" w:eastAsia="zh-CN"/>
        </w:rPr>
        <w:t>Mini LED显示屏空间光色特性校准规范主要内容将包括：Mini LED显示屏用途、计量性能要求，以及校准项目和校准条件、校准方法、校准结果的处理、校准周期和不确定度评估等内容。</w:t>
      </w:r>
    </w:p>
    <w:p w14:paraId="086A650D">
      <w:pPr>
        <w:spacing w:line="400" w:lineRule="exact"/>
        <w:ind w:firstLine="570"/>
        <w:rPr>
          <w:rFonts w:hint="default"/>
          <w:sz w:val="28"/>
          <w:lang w:val="en-US" w:eastAsia="zh-CN"/>
        </w:rPr>
      </w:pPr>
      <w:r>
        <w:rPr>
          <w:rFonts w:hint="eastAsia"/>
          <w:sz w:val="28"/>
          <w:lang w:val="en-US" w:eastAsia="zh-CN"/>
        </w:rPr>
        <w:t>Mini LED显示屏空间光色特性从以下方面对被校准装置提出要求：典型白场条件下的亮度不确定度；垂直视角条件下亮度均匀性；典型白场或RGB条件下的色品坐标不确定度等。</w:t>
      </w:r>
    </w:p>
    <w:p w14:paraId="2D8B2A34">
      <w:pPr>
        <w:bidi w:val="0"/>
        <w:rPr>
          <w:rFonts w:hint="default"/>
          <w:lang w:val="en-US" w:eastAsia="zh-CN"/>
        </w:rPr>
      </w:pPr>
    </w:p>
    <w:p w14:paraId="299FD7CC">
      <w:pPr>
        <w:numPr>
          <w:ilvl w:val="0"/>
          <w:numId w:val="1"/>
        </w:numPr>
        <w:spacing w:line="400" w:lineRule="exact"/>
        <w:rPr>
          <w:rFonts w:hint="eastAsia"/>
          <w:sz w:val="28"/>
        </w:rPr>
      </w:pPr>
      <w:r>
        <w:rPr>
          <w:rFonts w:hint="eastAsia"/>
          <w:color w:val="FF0000"/>
          <w:sz w:val="28"/>
        </w:rPr>
        <w:t>制</w:t>
      </w:r>
      <w:r>
        <w:rPr>
          <w:rFonts w:hint="eastAsia"/>
          <w:color w:val="FF0000"/>
          <w:sz w:val="28"/>
          <w:szCs w:val="28"/>
        </w:rPr>
        <w:t>定</w:t>
      </w:r>
      <w:r>
        <w:rPr>
          <w:rFonts w:hint="eastAsia"/>
          <w:sz w:val="28"/>
        </w:rPr>
        <w:t>过程</w:t>
      </w:r>
    </w:p>
    <w:p w14:paraId="74049AD2">
      <w:pPr>
        <w:spacing w:line="400" w:lineRule="exact"/>
        <w:ind w:firstLine="435"/>
        <w:rPr>
          <w:rFonts w:hint="default" w:ascii="宋体" w:hAnsi="宋体" w:eastAsiaTheme="minorEastAsia"/>
          <w:color w:val="000000"/>
          <w:sz w:val="28"/>
          <w:szCs w:val="28"/>
          <w:highlight w:val="yellow"/>
          <w:lang w:val="en-US" w:eastAsia="zh-CN"/>
        </w:rPr>
      </w:pPr>
      <w:bookmarkStart w:id="0" w:name="_GoBack"/>
      <w:r>
        <w:rPr>
          <w:rFonts w:hint="eastAsia"/>
          <w:color w:val="FF0000"/>
          <w:sz w:val="28"/>
          <w:szCs w:val="28"/>
          <w:lang w:val="en-US" w:eastAsia="zh-CN"/>
        </w:rPr>
        <w:t>本规范</w:t>
      </w:r>
      <w:bookmarkEnd w:id="0"/>
      <w:r>
        <w:rPr>
          <w:rFonts w:hint="eastAsia" w:ascii="宋体" w:hAnsi="宋体"/>
          <w:color w:val="000000"/>
          <w:sz w:val="28"/>
          <w:szCs w:val="28"/>
          <w:highlight w:val="none"/>
        </w:rPr>
        <w:t>编写人员</w:t>
      </w:r>
      <w:r>
        <w:rPr>
          <w:rFonts w:hint="eastAsia" w:ascii="宋体" w:hAnsi="宋体"/>
          <w:color w:val="000000"/>
          <w:sz w:val="28"/>
          <w:szCs w:val="28"/>
          <w:highlight w:val="none"/>
          <w:lang w:val="en-US" w:eastAsia="zh-CN"/>
        </w:rPr>
        <w:t>在2024年1月开始执行</w:t>
      </w:r>
      <w:r>
        <w:rPr>
          <w:rFonts w:hint="eastAsia"/>
          <w:color w:val="FF0000"/>
          <w:sz w:val="28"/>
          <w:szCs w:val="28"/>
          <w:lang w:val="en-US" w:eastAsia="zh-CN"/>
        </w:rPr>
        <w:t>质量强链行动项目，拓展LED显示屏的校准能力，并开始累计相关数据。</w:t>
      </w:r>
      <w:r>
        <w:rPr>
          <w:rFonts w:hint="eastAsia" w:ascii="宋体" w:hAnsi="宋体"/>
          <w:color w:val="000000"/>
          <w:sz w:val="28"/>
          <w:szCs w:val="28"/>
          <w:highlight w:val="none"/>
        </w:rPr>
        <w:t>编写人员</w:t>
      </w:r>
      <w:r>
        <w:rPr>
          <w:rFonts w:hint="eastAsia" w:ascii="宋体" w:hAnsi="宋体"/>
          <w:color w:val="000000"/>
          <w:sz w:val="28"/>
          <w:szCs w:val="28"/>
          <w:highlight w:val="none"/>
          <w:lang w:val="en-US" w:eastAsia="zh-CN"/>
        </w:rPr>
        <w:t>在建立相关计量标准装置后，在相关产业中进行尝试应用获得较好效果。</w:t>
      </w:r>
    </w:p>
    <w:p w14:paraId="3F24D1D5">
      <w:pPr>
        <w:spacing w:line="400" w:lineRule="exact"/>
        <w:ind w:firstLine="435"/>
        <w:rPr>
          <w:rFonts w:hint="eastAsia" w:ascii="宋体" w:hAnsi="宋体"/>
          <w:color w:val="000000"/>
          <w:sz w:val="28"/>
          <w:szCs w:val="28"/>
          <w:highlight w:val="none"/>
        </w:rPr>
      </w:pPr>
      <w:r>
        <w:rPr>
          <w:rFonts w:hint="eastAsia" w:ascii="宋体" w:hAnsi="宋体"/>
          <w:color w:val="000000"/>
          <w:sz w:val="28"/>
          <w:szCs w:val="28"/>
          <w:highlight w:val="none"/>
        </w:rPr>
        <w:t>在</w:t>
      </w:r>
      <w:r>
        <w:rPr>
          <w:rFonts w:hint="eastAsia" w:ascii="宋体" w:hAnsi="宋体"/>
          <w:color w:val="000000"/>
          <w:sz w:val="28"/>
          <w:szCs w:val="28"/>
          <w:highlight w:val="none"/>
          <w:lang w:val="en-US" w:eastAsia="zh-CN"/>
        </w:rPr>
        <w:t>本规范</w:t>
      </w:r>
      <w:r>
        <w:rPr>
          <w:rFonts w:hint="eastAsia" w:ascii="宋体" w:hAnsi="宋体"/>
          <w:color w:val="000000"/>
          <w:sz w:val="28"/>
          <w:szCs w:val="28"/>
          <w:highlight w:val="none"/>
        </w:rPr>
        <w:t>编写过程中，编写人员</w:t>
      </w:r>
      <w:r>
        <w:rPr>
          <w:rFonts w:hint="eastAsia" w:ascii="宋体" w:hAnsi="宋体"/>
          <w:color w:val="000000"/>
          <w:sz w:val="28"/>
          <w:szCs w:val="28"/>
          <w:highlight w:val="none"/>
          <w:lang w:val="en-US" w:eastAsia="zh-CN"/>
        </w:rPr>
        <w:t>累计了大量</w:t>
      </w:r>
      <w:r>
        <w:rPr>
          <w:rFonts w:hint="eastAsia"/>
          <w:sz w:val="28"/>
          <w:highlight w:val="none"/>
          <w:lang w:val="en-US" w:eastAsia="zh-CN"/>
        </w:rPr>
        <w:t>技术数据，结合在光色特性的技术基础上，针对Mini LED的特性开展计量技术研究和测试工作。</w:t>
      </w:r>
      <w:r>
        <w:rPr>
          <w:rFonts w:hint="eastAsia" w:ascii="宋体" w:hAnsi="宋体"/>
          <w:color w:val="000000"/>
          <w:sz w:val="28"/>
          <w:szCs w:val="28"/>
          <w:highlight w:val="none"/>
        </w:rPr>
        <w:t>对规范中提出的校准方法进行了大量的实验，同时对不确定度评定进行了验证。</w:t>
      </w:r>
    </w:p>
    <w:p w14:paraId="6F381E57">
      <w:pPr>
        <w:spacing w:line="400" w:lineRule="exact"/>
        <w:ind w:firstLine="435"/>
        <w:rPr>
          <w:rFonts w:hint="default" w:ascii="宋体" w:hAnsi="宋体"/>
          <w:color w:val="000000"/>
          <w:sz w:val="28"/>
          <w:szCs w:val="28"/>
          <w:highlight w:val="none"/>
          <w:lang w:val="en-US" w:eastAsia="zh-CN"/>
        </w:rPr>
      </w:pPr>
      <w:r>
        <w:rPr>
          <w:rFonts w:hint="eastAsia" w:ascii="宋体" w:hAnsi="宋体"/>
          <w:color w:val="000000"/>
          <w:sz w:val="28"/>
          <w:szCs w:val="28"/>
          <w:highlight w:val="none"/>
          <w:lang w:val="en-US" w:eastAsia="zh-CN"/>
        </w:rPr>
        <w:t>规范编写组在2024年12月向</w:t>
      </w:r>
      <w:r>
        <w:rPr>
          <w:rFonts w:hint="eastAsia" w:ascii="宋体" w:hAnsi="宋体"/>
          <w:color w:val="000000"/>
          <w:sz w:val="28"/>
          <w:szCs w:val="28"/>
          <w:highlight w:val="none"/>
        </w:rPr>
        <w:t>光学计量技术委员会</w:t>
      </w:r>
      <w:r>
        <w:rPr>
          <w:rFonts w:hint="eastAsia" w:ascii="宋体" w:hAnsi="宋体"/>
          <w:color w:val="000000"/>
          <w:sz w:val="28"/>
          <w:szCs w:val="28"/>
          <w:highlight w:val="none"/>
          <w:lang w:val="en-US" w:eastAsia="zh-CN"/>
        </w:rPr>
        <w:t>上报规范的征求意见稿，并通过相关渠道向公众征求意见。</w:t>
      </w:r>
    </w:p>
    <w:p w14:paraId="07AA7A8E">
      <w:pPr>
        <w:spacing w:line="400" w:lineRule="exact"/>
        <w:rPr>
          <w:rFonts w:hint="eastAsia" w:ascii="宋体" w:hAnsi="宋体"/>
          <w:color w:val="000000"/>
          <w:sz w:val="28"/>
          <w:szCs w:val="28"/>
          <w:highlight w:val="yellow"/>
        </w:rPr>
      </w:pPr>
    </w:p>
    <w:p w14:paraId="71DEB90D">
      <w:pPr>
        <w:wordWrap w:val="0"/>
        <w:spacing w:line="336" w:lineRule="auto"/>
        <w:ind w:firstLine="0" w:firstLineChars="0"/>
        <w:jc w:val="right"/>
        <w:rPr>
          <w:rFonts w:hint="default" w:ascii="宋体" w:hAnsi="宋体" w:eastAsiaTheme="minorEastAsia"/>
          <w:color w:val="000000"/>
          <w:sz w:val="28"/>
          <w:szCs w:val="28"/>
          <w:highlight w:val="none"/>
          <w:lang w:val="en-US" w:eastAsia="zh-CN"/>
        </w:rPr>
      </w:pPr>
      <w:r>
        <w:rPr>
          <w:rFonts w:hint="eastAsia" w:ascii="宋体" w:hAnsi="宋体"/>
          <w:color w:val="000000"/>
          <w:sz w:val="28"/>
          <w:szCs w:val="28"/>
          <w:highlight w:val="none"/>
          <w:lang w:val="en-US" w:eastAsia="zh-CN"/>
        </w:rPr>
        <w:t>Mini显示屏空间光色特性校准规范编写组</w:t>
      </w:r>
    </w:p>
    <w:p w14:paraId="667C8CD8">
      <w:pPr>
        <w:spacing w:line="336" w:lineRule="auto"/>
        <w:ind w:firstLine="5373" w:firstLineChars="1919"/>
        <w:jc w:val="right"/>
      </w:pPr>
      <w:r>
        <w:rPr>
          <w:rFonts w:hint="eastAsia" w:ascii="宋体" w:hAnsi="宋体"/>
          <w:color w:val="000000"/>
          <w:sz w:val="28"/>
          <w:szCs w:val="28"/>
          <w:highlight w:val="none"/>
        </w:rPr>
        <w:t>20</w:t>
      </w:r>
      <w:r>
        <w:rPr>
          <w:rFonts w:hint="eastAsia" w:ascii="宋体" w:hAnsi="宋体"/>
          <w:color w:val="000000"/>
          <w:sz w:val="28"/>
          <w:szCs w:val="28"/>
          <w:highlight w:val="none"/>
          <w:lang w:val="en-US" w:eastAsia="zh-CN"/>
        </w:rPr>
        <w:t>24</w:t>
      </w:r>
      <w:r>
        <w:rPr>
          <w:rFonts w:hint="eastAsia" w:ascii="宋体" w:hAnsi="宋体"/>
          <w:color w:val="000000"/>
          <w:sz w:val="28"/>
          <w:szCs w:val="28"/>
          <w:highlight w:val="none"/>
        </w:rPr>
        <w:t xml:space="preserve"> 年 </w:t>
      </w:r>
      <w:r>
        <w:rPr>
          <w:rFonts w:hint="eastAsia" w:ascii="宋体" w:hAnsi="宋体"/>
          <w:color w:val="000000"/>
          <w:sz w:val="28"/>
          <w:szCs w:val="28"/>
          <w:highlight w:val="none"/>
          <w:lang w:val="en-US" w:eastAsia="zh-CN"/>
        </w:rPr>
        <w:t>12</w:t>
      </w:r>
      <w:r>
        <w:rPr>
          <w:rFonts w:hint="eastAsia" w:ascii="宋体" w:hAnsi="宋体"/>
          <w:color w:val="000000"/>
          <w:sz w:val="28"/>
          <w:szCs w:val="28"/>
          <w:highlight w:val="none"/>
        </w:rPr>
        <w:t xml:space="preserve">月 </w:t>
      </w:r>
      <w:r>
        <w:rPr>
          <w:rFonts w:hint="eastAsia" w:ascii="宋体" w:hAnsi="宋体"/>
          <w:color w:val="000000"/>
          <w:sz w:val="28"/>
          <w:szCs w:val="28"/>
          <w:highlight w:val="none"/>
          <w:lang w:val="en-US" w:eastAsia="zh-CN"/>
        </w:rPr>
        <w:t>25</w:t>
      </w:r>
      <w:r>
        <w:rPr>
          <w:rFonts w:hint="eastAsia" w:ascii="宋体" w:hAnsi="宋体"/>
          <w:color w:val="000000"/>
          <w:sz w:val="28"/>
          <w:szCs w:val="28"/>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45A12"/>
    <w:multiLevelType w:val="multilevel"/>
    <w:tmpl w:val="69745A12"/>
    <w:lvl w:ilvl="0" w:tentative="0">
      <w:start w:val="1"/>
      <w:numFmt w:val="japaneseCounting"/>
      <w:lvlText w:val="%1、"/>
      <w:lvlJc w:val="left"/>
      <w:pPr>
        <w:tabs>
          <w:tab w:val="left" w:pos="720"/>
        </w:tabs>
        <w:ind w:left="720" w:hanging="720"/>
      </w:pPr>
      <w:rPr>
        <w:rFonts w:hint="default"/>
      </w:rPr>
    </w:lvl>
    <w:lvl w:ilvl="1" w:tentative="0">
      <w:start w:val="1"/>
      <w:numFmt w:val="decimal"/>
      <w:lvlText w:val="%2、"/>
      <w:lvlJc w:val="left"/>
      <w:pPr>
        <w:tabs>
          <w:tab w:val="left" w:pos="1410"/>
        </w:tabs>
        <w:ind w:left="1410" w:hanging="99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yYjYwMDQ2YzFjNGQ5OWM3ZGVkNWRkMTRlYzkzMmIifQ=="/>
  </w:docVars>
  <w:rsids>
    <w:rsidRoot w:val="00000000"/>
    <w:rsid w:val="09E41C4E"/>
    <w:rsid w:val="0C970D4F"/>
    <w:rsid w:val="1C160DDE"/>
    <w:rsid w:val="1F274302"/>
    <w:rsid w:val="28572941"/>
    <w:rsid w:val="34045BAA"/>
    <w:rsid w:val="3408032E"/>
    <w:rsid w:val="3D2A5E7B"/>
    <w:rsid w:val="4EF94AC3"/>
    <w:rsid w:val="77F97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1366</Words>
  <Characters>1501</Characters>
  <Lines>0</Lines>
  <Paragraphs>0</Paragraphs>
  <TotalTime>13</TotalTime>
  <ScaleCrop>false</ScaleCrop>
  <LinksUpToDate>false</LinksUpToDate>
  <CharactersWithSpaces>1508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2022-10-20T02:40:00Z</dcterms:created>
  <dc:creator>12607</dc:creator>
  <cp:lastModifiedBy>Zhao Weiqiang</cp:lastModifiedBy>
  <dcterms:modified xsi:type="dcterms:W3CDTF">2024-12-25T09:14:43Z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646613112DCF4F48A7CFA9CB572818FC</vt:lpwstr>
  </property>
  <property fmtid="{D5CDD505-2E9C-101B-9397-08002B2CF9AE}" pid="4" name="KSOTemplateDocerSaveRecord">
    <vt:lpwstr>eyJoZGlkIjoiMzEwNTM5NzYwMDRjMzkwZTVkZjY2ODkwMGIxNGU0OTUiLCJ1c2VySWQiOiI0NTQ4NTY3NDQifQ==</vt:lpwstr>
  </property>
</Properties>
</file>